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3A" w:rsidRDefault="00404B53">
      <w:pPr>
        <w:pStyle w:val="Nadpis1"/>
        <w:ind w:right="1067"/>
      </w:pPr>
      <w:r>
        <w:t>OMD</w:t>
      </w:r>
      <w:r w:rsidR="008A3316">
        <w:rPr>
          <w:spacing w:val="-2"/>
        </w:rPr>
        <w:t xml:space="preserve"> </w:t>
      </w:r>
      <w:r w:rsidR="008A3316">
        <w:t>mladších</w:t>
      </w:r>
      <w:r w:rsidR="008A3316">
        <w:rPr>
          <w:spacing w:val="-2"/>
        </w:rPr>
        <w:t xml:space="preserve"> </w:t>
      </w:r>
      <w:r w:rsidR="008A3316">
        <w:t>žáků</w:t>
      </w:r>
      <w:r w:rsidR="008A3316">
        <w:rPr>
          <w:spacing w:val="-1"/>
        </w:rPr>
        <w:t xml:space="preserve"> </w:t>
      </w:r>
      <w:r w:rsidR="008A3316">
        <w:t>a</w:t>
      </w:r>
      <w:r w:rsidR="008A3316">
        <w:rPr>
          <w:spacing w:val="-2"/>
        </w:rPr>
        <w:t xml:space="preserve"> </w:t>
      </w:r>
      <w:r w:rsidR="008A3316">
        <w:t>mladších</w:t>
      </w:r>
      <w:r w:rsidR="008A3316">
        <w:rPr>
          <w:spacing w:val="-2"/>
        </w:rPr>
        <w:t xml:space="preserve"> </w:t>
      </w:r>
      <w:r w:rsidR="008A3316">
        <w:t>žákyň</w:t>
      </w:r>
      <w:r w:rsidR="008A3316">
        <w:rPr>
          <w:spacing w:val="-2"/>
        </w:rPr>
        <w:t xml:space="preserve"> </w:t>
      </w:r>
      <w:proofErr w:type="spellStart"/>
      <w:r w:rsidR="008A3316">
        <w:t>sk</w:t>
      </w:r>
      <w:proofErr w:type="spellEnd"/>
      <w:r w:rsidR="008A3316">
        <w:t>.</w:t>
      </w:r>
      <w:r>
        <w:t xml:space="preserve"> </w:t>
      </w:r>
      <w:r w:rsidR="008A3316">
        <w:t>A – rok 2024</w:t>
      </w:r>
    </w:p>
    <w:p w:rsidR="00325E3A" w:rsidRDefault="00325E3A">
      <w:pPr>
        <w:pStyle w:val="Zkladntext"/>
        <w:spacing w:before="4"/>
        <w:rPr>
          <w:b/>
        </w:rPr>
      </w:pPr>
    </w:p>
    <w:p w:rsidR="008A3316" w:rsidRDefault="00404B53">
      <w:pPr>
        <w:pStyle w:val="Zkladntext"/>
        <w:spacing w:line="276" w:lineRule="auto"/>
        <w:ind w:left="240" w:right="116"/>
        <w:jc w:val="both"/>
        <w:rPr>
          <w:spacing w:val="1"/>
        </w:rPr>
      </w:pPr>
      <w:r>
        <w:t xml:space="preserve">Oblastní mistrovství družstev </w:t>
      </w:r>
      <w:r w:rsidR="008A3316">
        <w:t>mladšího žactva skupiny</w:t>
      </w:r>
      <w:r>
        <w:t xml:space="preserve"> A proběhlo </w:t>
      </w:r>
      <w:r w:rsidR="008A3316">
        <w:t xml:space="preserve">v roce 2024 </w:t>
      </w:r>
      <w:r>
        <w:t xml:space="preserve">ve třech </w:t>
      </w:r>
      <w:proofErr w:type="gramStart"/>
      <w:r>
        <w:t>kolech  na</w:t>
      </w:r>
      <w:proofErr w:type="gramEnd"/>
      <w:r>
        <w:t xml:space="preserve"> stadionech </w:t>
      </w:r>
      <w:r w:rsidR="008A3316">
        <w:t xml:space="preserve"> AC</w:t>
      </w:r>
      <w:r w:rsidR="008A3316">
        <w:rPr>
          <w:spacing w:val="1"/>
        </w:rPr>
        <w:t xml:space="preserve"> </w:t>
      </w:r>
      <w:r w:rsidR="008A3316">
        <w:t>Domažlice</w:t>
      </w:r>
      <w:r>
        <w:t>, AK Škoda Plzeň a Atletiky Klatovy</w:t>
      </w:r>
      <w:r w:rsidR="008A3316">
        <w:t>.</w:t>
      </w:r>
      <w:r w:rsidR="008A3316">
        <w:rPr>
          <w:spacing w:val="1"/>
        </w:rPr>
        <w:t xml:space="preserve"> </w:t>
      </w:r>
      <w:r>
        <w:rPr>
          <w:spacing w:val="1"/>
        </w:rPr>
        <w:t xml:space="preserve">Sušickou atletiku reprezentovala družstva mladších žáků i mladších žákyň. Naši atleti se neztratili, </w:t>
      </w:r>
      <w:r w:rsidR="008A3316">
        <w:rPr>
          <w:spacing w:val="1"/>
        </w:rPr>
        <w:t xml:space="preserve">předvedli mnoho kvalitních výkonů, </w:t>
      </w:r>
      <w:r>
        <w:rPr>
          <w:spacing w:val="1"/>
        </w:rPr>
        <w:t>ale přeci jen se trošku více dařilo chlapcům</w:t>
      </w:r>
      <w:r w:rsidR="008A3316">
        <w:rPr>
          <w:spacing w:val="1"/>
        </w:rPr>
        <w:t xml:space="preserve">.  </w:t>
      </w:r>
    </w:p>
    <w:p w:rsidR="008A3316" w:rsidRDefault="008A3316">
      <w:pPr>
        <w:pStyle w:val="Zkladntext"/>
        <w:spacing w:line="276" w:lineRule="auto"/>
        <w:ind w:left="240" w:right="116"/>
        <w:jc w:val="both"/>
        <w:rPr>
          <w:spacing w:val="1"/>
        </w:rPr>
      </w:pPr>
      <w:r>
        <w:rPr>
          <w:spacing w:val="1"/>
        </w:rPr>
        <w:t xml:space="preserve">Ti slaví velký úspěch, protože </w:t>
      </w:r>
      <w:r w:rsidR="00404B53">
        <w:rPr>
          <w:spacing w:val="1"/>
        </w:rPr>
        <w:t xml:space="preserve">se </w:t>
      </w:r>
      <w:r>
        <w:rPr>
          <w:spacing w:val="1"/>
        </w:rPr>
        <w:t>s</w:t>
      </w:r>
      <w:r w:rsidR="00404B53">
        <w:rPr>
          <w:spacing w:val="1"/>
        </w:rPr>
        <w:t>vými výkony</w:t>
      </w:r>
      <w:r>
        <w:rPr>
          <w:spacing w:val="1"/>
        </w:rPr>
        <w:t xml:space="preserve"> po dlouhých letech </w:t>
      </w:r>
      <w:r w:rsidR="00404B53">
        <w:rPr>
          <w:spacing w:val="1"/>
        </w:rPr>
        <w:t xml:space="preserve">probojovali do finále družstev skupin A, B i C, které se uskuteční </w:t>
      </w:r>
      <w:proofErr w:type="gramStart"/>
      <w:r w:rsidR="00404B53">
        <w:rPr>
          <w:spacing w:val="1"/>
        </w:rPr>
        <w:t>15.9.2024</w:t>
      </w:r>
      <w:proofErr w:type="gramEnd"/>
      <w:r w:rsidR="00404B53">
        <w:rPr>
          <w:spacing w:val="1"/>
        </w:rPr>
        <w:t xml:space="preserve"> na stadionu Škody Plzeň. </w:t>
      </w:r>
      <w:r>
        <w:rPr>
          <w:spacing w:val="1"/>
        </w:rPr>
        <w:t>Zde se utkají se třemi nejúspěšnějšími týmy ze skupin A, B, C, tedy s </w:t>
      </w:r>
      <w:proofErr w:type="gramStart"/>
      <w:r>
        <w:rPr>
          <w:spacing w:val="1"/>
        </w:rPr>
        <w:t>nejúspěšnějšími  osmi</w:t>
      </w:r>
      <w:proofErr w:type="gramEnd"/>
      <w:r>
        <w:rPr>
          <w:spacing w:val="1"/>
        </w:rPr>
        <w:t xml:space="preserve"> týmy z Plzeňského a Karlovarského kraje. </w:t>
      </w:r>
    </w:p>
    <w:p w:rsidR="00325E3A" w:rsidRDefault="00404B53">
      <w:pPr>
        <w:pStyle w:val="Zkladntext"/>
        <w:spacing w:line="276" w:lineRule="auto"/>
        <w:ind w:left="240" w:right="116"/>
        <w:jc w:val="both"/>
        <w:rPr>
          <w:spacing w:val="1"/>
        </w:rPr>
      </w:pPr>
      <w:r>
        <w:rPr>
          <w:spacing w:val="1"/>
        </w:rPr>
        <w:t xml:space="preserve">Níže je rekapitulace soutěže po třech kolech. </w:t>
      </w:r>
    </w:p>
    <w:p w:rsidR="00404B53" w:rsidRDefault="00404B53">
      <w:pPr>
        <w:pStyle w:val="Zkladntext"/>
        <w:spacing w:line="276" w:lineRule="auto"/>
        <w:ind w:left="240" w:right="116"/>
        <w:jc w:val="both"/>
        <w:rPr>
          <w:spacing w:val="1"/>
        </w:rPr>
      </w:pPr>
    </w:p>
    <w:p w:rsidR="00404B53" w:rsidRDefault="00404B53">
      <w:pPr>
        <w:pStyle w:val="Zkladntext"/>
        <w:spacing w:line="276" w:lineRule="auto"/>
        <w:ind w:left="240" w:right="116"/>
        <w:jc w:val="both"/>
        <w:rPr>
          <w:spacing w:val="1"/>
        </w:rPr>
      </w:pPr>
    </w:p>
    <w:p w:rsidR="00325E3A" w:rsidRDefault="008A3316">
      <w:pPr>
        <w:pStyle w:val="Nadpis1"/>
      </w:pPr>
      <w:r>
        <w:t>Celkové</w:t>
      </w:r>
      <w:r>
        <w:rPr>
          <w:spacing w:val="-3"/>
        </w:rPr>
        <w:t xml:space="preserve"> </w:t>
      </w:r>
      <w:r>
        <w:t>pořadí</w:t>
      </w:r>
      <w:r>
        <w:rPr>
          <w:spacing w:val="-3"/>
        </w:rPr>
        <w:t xml:space="preserve"> </w:t>
      </w:r>
      <w:r>
        <w:t>družstev</w:t>
      </w:r>
      <w:r>
        <w:rPr>
          <w:spacing w:val="-1"/>
        </w:rPr>
        <w:t xml:space="preserve"> </w:t>
      </w:r>
      <w:proofErr w:type="gramStart"/>
      <w:r>
        <w:t>po</w:t>
      </w:r>
      <w:r>
        <w:rPr>
          <w:spacing w:val="-1"/>
        </w:rPr>
        <w:t xml:space="preserve"> </w:t>
      </w:r>
      <w:r>
        <w:t>3.kole</w:t>
      </w:r>
      <w:proofErr w:type="gramEnd"/>
      <w:r>
        <w:rPr>
          <w:spacing w:val="-2"/>
        </w:rPr>
        <w:t xml:space="preserve"> </w:t>
      </w:r>
      <w:r>
        <w:t>KMD</w:t>
      </w:r>
      <w:r>
        <w:rPr>
          <w:spacing w:val="-2"/>
        </w:rPr>
        <w:t xml:space="preserve"> </w:t>
      </w:r>
      <w:r>
        <w:t>mladších</w:t>
      </w:r>
      <w:r>
        <w:rPr>
          <w:spacing w:val="-1"/>
        </w:rPr>
        <w:t xml:space="preserve"> </w:t>
      </w:r>
      <w:r>
        <w:t>žáků:</w:t>
      </w:r>
    </w:p>
    <w:p w:rsidR="00325E3A" w:rsidRDefault="00325E3A">
      <w:pPr>
        <w:pStyle w:val="Zkladntext"/>
        <w:spacing w:before="10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192"/>
        <w:gridCol w:w="1736"/>
      </w:tblGrid>
      <w:tr w:rsidR="00325E3A" w:rsidTr="00404B53">
        <w:trPr>
          <w:trHeight w:val="543"/>
        </w:trPr>
        <w:tc>
          <w:tcPr>
            <w:tcW w:w="862" w:type="dxa"/>
            <w:shd w:val="clear" w:color="auto" w:fill="C2D69B" w:themeFill="accent3" w:themeFillTint="99"/>
          </w:tcPr>
          <w:p w:rsidR="00325E3A" w:rsidRDefault="008A3316">
            <w:pPr>
              <w:pStyle w:val="TableParagraph"/>
              <w:ind w:left="0"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92" w:type="dxa"/>
            <w:shd w:val="clear" w:color="auto" w:fill="C2D69B" w:themeFill="accent3" w:themeFillTint="99"/>
          </w:tcPr>
          <w:p w:rsidR="00325E3A" w:rsidRDefault="008A3316">
            <w:pPr>
              <w:pStyle w:val="TableParagraph"/>
              <w:ind w:left="1633" w:right="1619"/>
              <w:rPr>
                <w:sz w:val="24"/>
              </w:rPr>
            </w:pPr>
            <w:r>
              <w:rPr>
                <w:sz w:val="24"/>
              </w:rPr>
              <w:t>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Plzeň A</w:t>
            </w:r>
          </w:p>
        </w:tc>
        <w:tc>
          <w:tcPr>
            <w:tcW w:w="1736" w:type="dxa"/>
            <w:shd w:val="clear" w:color="auto" w:fill="C2D69B" w:themeFill="accent3" w:themeFillTint="99"/>
          </w:tcPr>
          <w:p w:rsidR="00325E3A" w:rsidRDefault="008A3316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15/623,5</w:t>
            </w:r>
          </w:p>
        </w:tc>
      </w:tr>
      <w:tr w:rsidR="00325E3A" w:rsidTr="00404B53">
        <w:trPr>
          <w:trHeight w:val="544"/>
        </w:trPr>
        <w:tc>
          <w:tcPr>
            <w:tcW w:w="862" w:type="dxa"/>
            <w:shd w:val="clear" w:color="auto" w:fill="C2D69B" w:themeFill="accent3" w:themeFillTint="99"/>
          </w:tcPr>
          <w:p w:rsidR="00325E3A" w:rsidRDefault="008A3316">
            <w:pPr>
              <w:pStyle w:val="TableParagraph"/>
              <w:ind w:left="0"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192" w:type="dxa"/>
            <w:shd w:val="clear" w:color="auto" w:fill="C2D69B" w:themeFill="accent3" w:themeFillTint="99"/>
          </w:tcPr>
          <w:p w:rsidR="00325E3A" w:rsidRDefault="008A3316">
            <w:pPr>
              <w:pStyle w:val="TableParagraph"/>
              <w:ind w:left="1633" w:right="1618"/>
              <w:rPr>
                <w:sz w:val="24"/>
              </w:rPr>
            </w:pPr>
            <w:r>
              <w:rPr>
                <w:sz w:val="24"/>
              </w:rPr>
              <w:t>TJ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Sušice,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z.s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736" w:type="dxa"/>
            <w:shd w:val="clear" w:color="auto" w:fill="C2D69B" w:themeFill="accent3" w:themeFillTint="99"/>
          </w:tcPr>
          <w:p w:rsidR="00325E3A" w:rsidRDefault="008A3316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12/300</w:t>
            </w:r>
          </w:p>
        </w:tc>
      </w:tr>
      <w:tr w:rsidR="00325E3A" w:rsidTr="00404B53">
        <w:trPr>
          <w:trHeight w:val="543"/>
        </w:trPr>
        <w:tc>
          <w:tcPr>
            <w:tcW w:w="862" w:type="dxa"/>
            <w:shd w:val="clear" w:color="auto" w:fill="C2D69B" w:themeFill="accent3" w:themeFillTint="99"/>
          </w:tcPr>
          <w:p w:rsidR="00325E3A" w:rsidRDefault="008A3316">
            <w:pPr>
              <w:pStyle w:val="TableParagraph"/>
              <w:ind w:left="0"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192" w:type="dxa"/>
            <w:shd w:val="clear" w:color="auto" w:fill="C2D69B" w:themeFill="accent3" w:themeFillTint="99"/>
          </w:tcPr>
          <w:p w:rsidR="00325E3A" w:rsidRDefault="008A3316">
            <w:pPr>
              <w:pStyle w:val="TableParagraph"/>
              <w:ind w:left="1633" w:right="1620"/>
              <w:rPr>
                <w:sz w:val="24"/>
              </w:rPr>
            </w:pPr>
            <w:r>
              <w:rPr>
                <w:sz w:val="24"/>
              </w:rPr>
              <w:t>AKR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Železná Ruda</w:t>
            </w:r>
          </w:p>
        </w:tc>
        <w:tc>
          <w:tcPr>
            <w:tcW w:w="1736" w:type="dxa"/>
            <w:shd w:val="clear" w:color="auto" w:fill="C2D69B" w:themeFill="accent3" w:themeFillTint="99"/>
          </w:tcPr>
          <w:p w:rsidR="00325E3A" w:rsidRDefault="008A3316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7/200</w:t>
            </w:r>
          </w:p>
        </w:tc>
      </w:tr>
      <w:tr w:rsidR="00325E3A">
        <w:trPr>
          <w:trHeight w:val="544"/>
        </w:trPr>
        <w:tc>
          <w:tcPr>
            <w:tcW w:w="862" w:type="dxa"/>
          </w:tcPr>
          <w:p w:rsidR="00325E3A" w:rsidRDefault="008A3316">
            <w:pPr>
              <w:pStyle w:val="TableParagraph"/>
              <w:ind w:left="0"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192" w:type="dxa"/>
          </w:tcPr>
          <w:p w:rsidR="00325E3A" w:rsidRDefault="008A3316">
            <w:pPr>
              <w:pStyle w:val="TableParagraph"/>
              <w:ind w:left="1633" w:right="1620"/>
              <w:rPr>
                <w:sz w:val="24"/>
              </w:rPr>
            </w:pPr>
            <w:r>
              <w:rPr>
                <w:sz w:val="24"/>
              </w:rPr>
              <w:t>AC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Domažlice,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z.s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736" w:type="dxa"/>
          </w:tcPr>
          <w:p w:rsidR="00325E3A" w:rsidRDefault="008A3316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6/173,5</w:t>
            </w:r>
          </w:p>
        </w:tc>
      </w:tr>
      <w:tr w:rsidR="00325E3A">
        <w:trPr>
          <w:trHeight w:val="544"/>
        </w:trPr>
        <w:tc>
          <w:tcPr>
            <w:tcW w:w="862" w:type="dxa"/>
          </w:tcPr>
          <w:p w:rsidR="00325E3A" w:rsidRDefault="008A3316">
            <w:pPr>
              <w:pStyle w:val="TableParagraph"/>
              <w:ind w:left="0"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192" w:type="dxa"/>
          </w:tcPr>
          <w:p w:rsidR="00325E3A" w:rsidRDefault="008A3316">
            <w:pPr>
              <w:pStyle w:val="TableParagraph"/>
              <w:ind w:left="1633" w:right="1618"/>
              <w:rPr>
                <w:sz w:val="24"/>
              </w:rPr>
            </w:pPr>
            <w:r>
              <w:rPr>
                <w:sz w:val="24"/>
              </w:rPr>
              <w:t>Atletika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Klatovy</w:t>
            </w:r>
          </w:p>
        </w:tc>
        <w:tc>
          <w:tcPr>
            <w:tcW w:w="1736" w:type="dxa"/>
          </w:tcPr>
          <w:p w:rsidR="00325E3A" w:rsidRDefault="008A3316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5/134</w:t>
            </w:r>
          </w:p>
        </w:tc>
      </w:tr>
    </w:tbl>
    <w:p w:rsidR="00404B53" w:rsidRDefault="00404B53">
      <w:pPr>
        <w:spacing w:before="219"/>
        <w:ind w:left="1186" w:right="1064"/>
        <w:jc w:val="center"/>
        <w:rPr>
          <w:b/>
          <w:sz w:val="24"/>
        </w:rPr>
      </w:pPr>
    </w:p>
    <w:p w:rsidR="00325E3A" w:rsidRDefault="008A3316">
      <w:pPr>
        <w:spacing w:before="219"/>
        <w:ind w:left="1186" w:right="1064"/>
        <w:jc w:val="center"/>
        <w:rPr>
          <w:b/>
          <w:sz w:val="24"/>
        </w:rPr>
      </w:pPr>
      <w:r>
        <w:rPr>
          <w:b/>
          <w:sz w:val="24"/>
        </w:rPr>
        <w:t>Celkové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pořadí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družstev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 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KMD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mladších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žákyň:</w:t>
      </w:r>
    </w:p>
    <w:p w:rsidR="00325E3A" w:rsidRDefault="00325E3A">
      <w:pPr>
        <w:pStyle w:val="Zkladntext"/>
        <w:spacing w:before="11"/>
        <w:rPr>
          <w:b/>
          <w:sz w:val="22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4992"/>
        <w:gridCol w:w="1924"/>
      </w:tblGrid>
      <w:tr w:rsidR="00325E3A" w:rsidTr="00404B53">
        <w:trPr>
          <w:trHeight w:val="547"/>
        </w:trPr>
        <w:tc>
          <w:tcPr>
            <w:tcW w:w="832" w:type="dxa"/>
            <w:shd w:val="clear" w:color="auto" w:fill="C2D69B" w:themeFill="accent3" w:themeFillTint="99"/>
          </w:tcPr>
          <w:p w:rsidR="00325E3A" w:rsidRDefault="008A3316">
            <w:pPr>
              <w:pStyle w:val="TableParagraph"/>
              <w:spacing w:before="136"/>
              <w:ind w:left="308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992" w:type="dxa"/>
            <w:shd w:val="clear" w:color="auto" w:fill="C2D69B" w:themeFill="accent3" w:themeFillTint="99"/>
          </w:tcPr>
          <w:p w:rsidR="00325E3A" w:rsidRDefault="008A3316">
            <w:pPr>
              <w:pStyle w:val="TableParagraph"/>
              <w:spacing w:before="136"/>
              <w:ind w:left="1543" w:right="1529"/>
              <w:rPr>
                <w:sz w:val="24"/>
              </w:rPr>
            </w:pPr>
            <w:r>
              <w:rPr>
                <w:sz w:val="24"/>
              </w:rPr>
              <w:t>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Plzeň A</w:t>
            </w:r>
          </w:p>
        </w:tc>
        <w:tc>
          <w:tcPr>
            <w:tcW w:w="1924" w:type="dxa"/>
            <w:shd w:val="clear" w:color="auto" w:fill="C2D69B" w:themeFill="accent3" w:themeFillTint="99"/>
          </w:tcPr>
          <w:p w:rsidR="00325E3A" w:rsidRDefault="008A3316">
            <w:pPr>
              <w:pStyle w:val="TableParagraph"/>
              <w:spacing w:before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19/502,75</w:t>
            </w:r>
          </w:p>
        </w:tc>
      </w:tr>
      <w:tr w:rsidR="00325E3A" w:rsidTr="00404B53">
        <w:trPr>
          <w:trHeight w:val="546"/>
        </w:trPr>
        <w:tc>
          <w:tcPr>
            <w:tcW w:w="832" w:type="dxa"/>
            <w:shd w:val="clear" w:color="auto" w:fill="C2D69B" w:themeFill="accent3" w:themeFillTint="99"/>
          </w:tcPr>
          <w:p w:rsidR="00325E3A" w:rsidRDefault="008A3316">
            <w:pPr>
              <w:pStyle w:val="TableParagraph"/>
              <w:ind w:left="308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992" w:type="dxa"/>
            <w:shd w:val="clear" w:color="auto" w:fill="C2D69B" w:themeFill="accent3" w:themeFillTint="99"/>
          </w:tcPr>
          <w:p w:rsidR="00325E3A" w:rsidRDefault="008A3316">
            <w:pPr>
              <w:pStyle w:val="TableParagraph"/>
              <w:ind w:left="1543" w:right="1530"/>
              <w:rPr>
                <w:sz w:val="24"/>
              </w:rPr>
            </w:pPr>
            <w:r>
              <w:rPr>
                <w:sz w:val="24"/>
              </w:rPr>
              <w:t>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Plzeň C</w:t>
            </w:r>
          </w:p>
        </w:tc>
        <w:tc>
          <w:tcPr>
            <w:tcW w:w="1924" w:type="dxa"/>
            <w:shd w:val="clear" w:color="auto" w:fill="C2D69B" w:themeFill="accent3" w:themeFillTint="99"/>
          </w:tcPr>
          <w:p w:rsidR="00325E3A" w:rsidRDefault="008A3316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16/426,75</w:t>
            </w:r>
          </w:p>
        </w:tc>
      </w:tr>
      <w:tr w:rsidR="00325E3A" w:rsidTr="00404B53">
        <w:trPr>
          <w:trHeight w:val="547"/>
        </w:trPr>
        <w:tc>
          <w:tcPr>
            <w:tcW w:w="832" w:type="dxa"/>
            <w:shd w:val="clear" w:color="auto" w:fill="C2D69B" w:themeFill="accent3" w:themeFillTint="99"/>
          </w:tcPr>
          <w:p w:rsidR="00325E3A" w:rsidRDefault="008A3316">
            <w:pPr>
              <w:pStyle w:val="TableParagraph"/>
              <w:spacing w:before="136"/>
              <w:ind w:left="308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992" w:type="dxa"/>
            <w:shd w:val="clear" w:color="auto" w:fill="C2D69B" w:themeFill="accent3" w:themeFillTint="99"/>
          </w:tcPr>
          <w:p w:rsidR="00325E3A" w:rsidRDefault="008A3316">
            <w:pPr>
              <w:pStyle w:val="TableParagraph"/>
              <w:spacing w:before="136"/>
              <w:ind w:left="1543" w:right="1528"/>
              <w:rPr>
                <w:sz w:val="24"/>
              </w:rPr>
            </w:pPr>
            <w:r>
              <w:rPr>
                <w:sz w:val="24"/>
              </w:rPr>
              <w:t>Atletika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Klatovy</w:t>
            </w:r>
          </w:p>
        </w:tc>
        <w:tc>
          <w:tcPr>
            <w:tcW w:w="1924" w:type="dxa"/>
            <w:shd w:val="clear" w:color="auto" w:fill="C2D69B" w:themeFill="accent3" w:themeFillTint="99"/>
          </w:tcPr>
          <w:p w:rsidR="00325E3A" w:rsidRDefault="008A3316">
            <w:pPr>
              <w:pStyle w:val="TableParagraph"/>
              <w:spacing w:before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16/382</w:t>
            </w:r>
          </w:p>
        </w:tc>
      </w:tr>
      <w:tr w:rsidR="00325E3A">
        <w:trPr>
          <w:trHeight w:val="546"/>
        </w:trPr>
        <w:tc>
          <w:tcPr>
            <w:tcW w:w="832" w:type="dxa"/>
          </w:tcPr>
          <w:p w:rsidR="00325E3A" w:rsidRDefault="008A3316">
            <w:pPr>
              <w:pStyle w:val="TableParagraph"/>
              <w:ind w:left="308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992" w:type="dxa"/>
          </w:tcPr>
          <w:p w:rsidR="00325E3A" w:rsidRDefault="008A3316">
            <w:pPr>
              <w:pStyle w:val="TableParagraph"/>
              <w:ind w:left="1543" w:right="1530"/>
              <w:rPr>
                <w:sz w:val="24"/>
              </w:rPr>
            </w:pPr>
            <w:r>
              <w:rPr>
                <w:sz w:val="24"/>
              </w:rPr>
              <w:t>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Plzeň B</w:t>
            </w:r>
          </w:p>
        </w:tc>
        <w:tc>
          <w:tcPr>
            <w:tcW w:w="1924" w:type="dxa"/>
          </w:tcPr>
          <w:p w:rsidR="00325E3A" w:rsidRDefault="008A3316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15/360,75</w:t>
            </w:r>
          </w:p>
        </w:tc>
        <w:bookmarkStart w:id="0" w:name="_GoBack"/>
        <w:bookmarkEnd w:id="0"/>
      </w:tr>
      <w:tr w:rsidR="00325E3A">
        <w:trPr>
          <w:trHeight w:val="572"/>
        </w:trPr>
        <w:tc>
          <w:tcPr>
            <w:tcW w:w="832" w:type="dxa"/>
          </w:tcPr>
          <w:p w:rsidR="00325E3A" w:rsidRDefault="008A3316">
            <w:pPr>
              <w:pStyle w:val="TableParagraph"/>
              <w:spacing w:before="148"/>
              <w:ind w:left="308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992" w:type="dxa"/>
          </w:tcPr>
          <w:p w:rsidR="00325E3A" w:rsidRDefault="008A3316">
            <w:pPr>
              <w:pStyle w:val="TableParagraph"/>
              <w:spacing w:before="148"/>
              <w:ind w:left="1543" w:right="1528"/>
              <w:rPr>
                <w:sz w:val="24"/>
              </w:rPr>
            </w:pPr>
            <w:r>
              <w:rPr>
                <w:sz w:val="24"/>
              </w:rPr>
              <w:t>TJ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Sušice,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z.s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924" w:type="dxa"/>
          </w:tcPr>
          <w:p w:rsidR="00325E3A" w:rsidRDefault="008A3316">
            <w:pPr>
              <w:pStyle w:val="TableParagraph"/>
              <w:spacing w:before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8/210</w:t>
            </w:r>
          </w:p>
        </w:tc>
      </w:tr>
      <w:tr w:rsidR="00325E3A">
        <w:trPr>
          <w:trHeight w:val="571"/>
        </w:trPr>
        <w:tc>
          <w:tcPr>
            <w:tcW w:w="832" w:type="dxa"/>
          </w:tcPr>
          <w:p w:rsidR="00325E3A" w:rsidRDefault="008A3316">
            <w:pPr>
              <w:pStyle w:val="TableParagraph"/>
              <w:spacing w:before="148"/>
              <w:ind w:left="308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992" w:type="dxa"/>
          </w:tcPr>
          <w:p w:rsidR="00325E3A" w:rsidRDefault="008A3316">
            <w:pPr>
              <w:pStyle w:val="TableParagraph"/>
              <w:spacing w:before="148"/>
              <w:ind w:left="1543" w:right="1530"/>
              <w:rPr>
                <w:sz w:val="24"/>
              </w:rPr>
            </w:pPr>
            <w:r>
              <w:rPr>
                <w:sz w:val="24"/>
              </w:rPr>
              <w:t>AC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Domažlice,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z.s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924" w:type="dxa"/>
          </w:tcPr>
          <w:p w:rsidR="00325E3A" w:rsidRDefault="008A3316">
            <w:pPr>
              <w:pStyle w:val="TableParagraph"/>
              <w:spacing w:before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7/176,5</w:t>
            </w:r>
          </w:p>
        </w:tc>
      </w:tr>
      <w:tr w:rsidR="00325E3A">
        <w:trPr>
          <w:trHeight w:val="572"/>
        </w:trPr>
        <w:tc>
          <w:tcPr>
            <w:tcW w:w="832" w:type="dxa"/>
          </w:tcPr>
          <w:p w:rsidR="00325E3A" w:rsidRDefault="008A3316">
            <w:pPr>
              <w:pStyle w:val="TableParagraph"/>
              <w:spacing w:before="148"/>
              <w:ind w:left="308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992" w:type="dxa"/>
          </w:tcPr>
          <w:p w:rsidR="00325E3A" w:rsidRDefault="008A3316">
            <w:pPr>
              <w:pStyle w:val="TableParagraph"/>
              <w:spacing w:before="148"/>
              <w:ind w:left="1543" w:right="1529"/>
              <w:rPr>
                <w:sz w:val="24"/>
              </w:rPr>
            </w:pPr>
            <w:r>
              <w:rPr>
                <w:sz w:val="24"/>
              </w:rPr>
              <w:t>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Plzeň D</w:t>
            </w:r>
          </w:p>
        </w:tc>
        <w:tc>
          <w:tcPr>
            <w:tcW w:w="1924" w:type="dxa"/>
          </w:tcPr>
          <w:p w:rsidR="00325E3A" w:rsidRDefault="008A3316">
            <w:pPr>
              <w:pStyle w:val="TableParagraph"/>
              <w:spacing w:before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3/36,25</w:t>
            </w:r>
          </w:p>
        </w:tc>
      </w:tr>
    </w:tbl>
    <w:p w:rsidR="00325E3A" w:rsidRDefault="00325E3A">
      <w:pPr>
        <w:pStyle w:val="Zkladntext"/>
        <w:rPr>
          <w:b/>
          <w:sz w:val="26"/>
        </w:rPr>
      </w:pPr>
    </w:p>
    <w:p w:rsidR="00325E3A" w:rsidRDefault="00325E3A">
      <w:pPr>
        <w:rPr>
          <w:sz w:val="24"/>
        </w:rPr>
      </w:pPr>
    </w:p>
    <w:p w:rsidR="00404B53" w:rsidRDefault="00404B53">
      <w:pPr>
        <w:rPr>
          <w:sz w:val="24"/>
        </w:rPr>
      </w:pPr>
    </w:p>
    <w:p w:rsidR="00325E3A" w:rsidRDefault="00404B53" w:rsidP="008A3316">
      <w:r>
        <w:rPr>
          <w:sz w:val="24"/>
        </w:rPr>
        <w:t xml:space="preserve">Zeleně jsou vyznačena postupující družstva. Našim mladším žákům přejeme do finále pěkné výkony </w:t>
      </w:r>
      <w:r w:rsidR="008A3316">
        <w:rPr>
          <w:sz w:val="24"/>
        </w:rPr>
        <w:t>a úspěšnou reprezentaci města Sušice.</w:t>
      </w:r>
    </w:p>
    <w:sectPr w:rsidR="00325E3A">
      <w:pgSz w:w="11910" w:h="16840"/>
      <w:pgMar w:top="1340" w:right="130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5E3A"/>
    <w:rsid w:val="00325E3A"/>
    <w:rsid w:val="00404B53"/>
    <w:rsid w:val="008A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spacing w:before="60"/>
      <w:ind w:left="1186" w:right="106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34"/>
      <w:ind w:left="11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spacing w:before="60"/>
      <w:ind w:left="1186" w:right="106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34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Mamina</dc:creator>
  <cp:lastModifiedBy> Ing. Ivana Vítovcová</cp:lastModifiedBy>
  <cp:revision>2</cp:revision>
  <dcterms:created xsi:type="dcterms:W3CDTF">2024-09-11T13:36:00Z</dcterms:created>
  <dcterms:modified xsi:type="dcterms:W3CDTF">2024-09-11T13:36:00Z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2024-09-06T00:00:00Z</vt:filetime>
  </property>
</Properties>
</file>